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2219D" w14:textId="694B7119" w:rsidR="4E91AF99" w:rsidRPr="00092AA3" w:rsidRDefault="524924B1" w:rsidP="524924B1">
      <w:pPr>
        <w:spacing w:after="0" w:line="240" w:lineRule="auto"/>
        <w:jc w:val="center"/>
        <w:rPr>
          <w:rFonts w:ascii="Verdana" w:hAnsi="Verdana"/>
          <w:b/>
          <w:bCs/>
          <w:sz w:val="40"/>
          <w:szCs w:val="40"/>
        </w:rPr>
      </w:pPr>
      <w:r w:rsidRPr="524924B1">
        <w:rPr>
          <w:rFonts w:ascii="Verdana" w:hAnsi="Verdana"/>
          <w:b/>
          <w:bCs/>
          <w:sz w:val="40"/>
          <w:szCs w:val="40"/>
        </w:rPr>
        <w:t>Exempt Staff Council</w:t>
      </w:r>
    </w:p>
    <w:p w14:paraId="31DFBEF3" w14:textId="6D714A7E" w:rsidR="4E91AF99" w:rsidRPr="00092AA3" w:rsidRDefault="524924B1" w:rsidP="524924B1">
      <w:pPr>
        <w:jc w:val="center"/>
        <w:rPr>
          <w:sz w:val="24"/>
          <w:szCs w:val="24"/>
        </w:rPr>
      </w:pPr>
      <w:r w:rsidRPr="524924B1">
        <w:rPr>
          <w:rFonts w:ascii="Calibri" w:eastAsia="Calibri" w:hAnsi="Calibri" w:cs="Calibri"/>
          <w:sz w:val="24"/>
          <w:szCs w:val="24"/>
        </w:rPr>
        <w:t xml:space="preserve">Tuesday, </w:t>
      </w:r>
      <w:r w:rsidR="0090612B">
        <w:rPr>
          <w:rFonts w:ascii="Calibri" w:eastAsia="Calibri" w:hAnsi="Calibri" w:cs="Calibri"/>
          <w:sz w:val="24"/>
          <w:szCs w:val="24"/>
        </w:rPr>
        <w:t>November 28</w:t>
      </w:r>
      <w:r w:rsidRPr="524924B1">
        <w:rPr>
          <w:rFonts w:ascii="Calibri" w:eastAsia="Calibri" w:hAnsi="Calibri" w:cs="Calibri"/>
          <w:sz w:val="24"/>
          <w:szCs w:val="24"/>
        </w:rPr>
        <w:t>, 2017– 2:30 pm to 4:00 pm</w:t>
      </w:r>
    </w:p>
    <w:p w14:paraId="1F41B4E7" w14:textId="1969A4F1" w:rsidR="0090612B" w:rsidRDefault="0090612B" w:rsidP="0090612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UT Institute for Public Services – 1610 University Ave. Room 102</w:t>
      </w:r>
    </w:p>
    <w:p w14:paraId="480AC7F9" w14:textId="77777777" w:rsidR="00E67825" w:rsidRDefault="00E67825" w:rsidP="00092AA3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55F245F" w14:textId="74A137A4" w:rsidR="00092AA3" w:rsidRDefault="524924B1" w:rsidP="524924B1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28"/>
          <w:szCs w:val="28"/>
        </w:rPr>
      </w:pPr>
      <w:r w:rsidRPr="524924B1">
        <w:rPr>
          <w:rFonts w:ascii="Verdana" w:hAnsi="Verdana"/>
          <w:b/>
          <w:bCs/>
          <w:i/>
          <w:iCs/>
          <w:sz w:val="28"/>
          <w:szCs w:val="28"/>
        </w:rPr>
        <w:t>MEETING MINUTES</w:t>
      </w:r>
    </w:p>
    <w:p w14:paraId="3F06DD28" w14:textId="77777777" w:rsidR="00092AA3" w:rsidRPr="00092AA3" w:rsidRDefault="00092AA3" w:rsidP="005552BF">
      <w:pPr>
        <w:jc w:val="center"/>
        <w:rPr>
          <w:sz w:val="24"/>
          <w:szCs w:val="24"/>
        </w:rPr>
      </w:pPr>
    </w:p>
    <w:p w14:paraId="477F5661" w14:textId="4D9C514C" w:rsidR="00065882" w:rsidRPr="00065882" w:rsidRDefault="524924B1" w:rsidP="524924B1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24924B1">
        <w:rPr>
          <w:rFonts w:ascii="Calibri" w:eastAsia="Calibri" w:hAnsi="Calibri" w:cs="Calibri"/>
          <w:b/>
          <w:bCs/>
          <w:sz w:val="24"/>
          <w:szCs w:val="24"/>
        </w:rPr>
        <w:t>Welcome</w:t>
      </w:r>
    </w:p>
    <w:p w14:paraId="00E7B684" w14:textId="3DE1A846" w:rsidR="00065882" w:rsidRPr="00065882" w:rsidRDefault="524924B1" w:rsidP="524924B1">
      <w:pPr>
        <w:rPr>
          <w:rFonts w:eastAsiaTheme="minorEastAsia"/>
          <w:sz w:val="24"/>
          <w:szCs w:val="24"/>
        </w:rPr>
      </w:pPr>
      <w:r w:rsidRPr="524924B1">
        <w:rPr>
          <w:rFonts w:eastAsiaTheme="minorEastAsia"/>
          <w:sz w:val="24"/>
          <w:szCs w:val="24"/>
        </w:rPr>
        <w:t xml:space="preserve">Heath Nokes, ESC Chair, welcomed everyone to the </w:t>
      </w:r>
      <w:r w:rsidR="005F2022">
        <w:rPr>
          <w:rFonts w:eastAsiaTheme="minorEastAsia"/>
          <w:sz w:val="24"/>
          <w:szCs w:val="24"/>
        </w:rPr>
        <w:t xml:space="preserve">September </w:t>
      </w:r>
      <w:r w:rsidRPr="524924B1">
        <w:rPr>
          <w:rFonts w:eastAsiaTheme="minorEastAsia"/>
          <w:sz w:val="24"/>
          <w:szCs w:val="24"/>
        </w:rPr>
        <w:t>meeting of the Exempt Staff Council.</w:t>
      </w:r>
    </w:p>
    <w:p w14:paraId="451EA29B" w14:textId="40E4A9FD" w:rsidR="4E91AF99" w:rsidRPr="005552BF" w:rsidRDefault="524924B1" w:rsidP="524924B1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24924B1">
        <w:rPr>
          <w:rFonts w:ascii="Calibri" w:eastAsia="Calibri" w:hAnsi="Calibri" w:cs="Calibri"/>
          <w:b/>
          <w:bCs/>
          <w:sz w:val="24"/>
          <w:szCs w:val="24"/>
        </w:rPr>
        <w:t xml:space="preserve">Business </w:t>
      </w:r>
    </w:p>
    <w:p w14:paraId="2E63BA49" w14:textId="77777777" w:rsidR="005552BF" w:rsidRPr="00DF7BA1" w:rsidRDefault="005552BF" w:rsidP="005552BF">
      <w:pPr>
        <w:pStyle w:val="ListParagraph"/>
        <w:ind w:left="360"/>
        <w:rPr>
          <w:rFonts w:eastAsiaTheme="minorEastAsia"/>
          <w:b/>
          <w:sz w:val="10"/>
          <w:szCs w:val="10"/>
        </w:rPr>
      </w:pPr>
    </w:p>
    <w:p w14:paraId="7A654EC0" w14:textId="16C57860" w:rsidR="00A8505E" w:rsidRPr="000648DD" w:rsidRDefault="00611853" w:rsidP="00611853">
      <w:pPr>
        <w:pStyle w:val="ListParagraph"/>
        <w:spacing w:after="0" w:line="240" w:lineRule="auto"/>
        <w:ind w:left="0"/>
        <w:rPr>
          <w:rFonts w:eastAsiaTheme="minorEastAsia"/>
          <w:sz w:val="24"/>
          <w:szCs w:val="24"/>
        </w:rPr>
      </w:pPr>
      <w:r w:rsidRPr="00611853">
        <w:rPr>
          <w:rFonts w:eastAsiaTheme="minorEastAsia"/>
          <w:b/>
          <w:bCs/>
          <w:sz w:val="24"/>
          <w:szCs w:val="24"/>
        </w:rPr>
        <w:t xml:space="preserve">Guest Speaker – </w:t>
      </w:r>
      <w:r w:rsidR="0090612B" w:rsidRPr="0090612B">
        <w:rPr>
          <w:rFonts w:eastAsiaTheme="minorEastAsia"/>
          <w:b/>
          <w:bCs/>
          <w:sz w:val="24"/>
          <w:szCs w:val="24"/>
        </w:rPr>
        <w:t xml:space="preserve">Yusof Al-Wadei, </w:t>
      </w:r>
      <w:r w:rsidR="0090612B">
        <w:rPr>
          <w:rFonts w:eastAsiaTheme="minorEastAsia"/>
          <w:b/>
          <w:bCs/>
          <w:sz w:val="24"/>
          <w:szCs w:val="24"/>
        </w:rPr>
        <w:t xml:space="preserve">Wellness </w:t>
      </w:r>
      <w:r w:rsidR="0090612B" w:rsidRPr="0090612B">
        <w:rPr>
          <w:rFonts w:eastAsiaTheme="minorEastAsia"/>
          <w:b/>
          <w:bCs/>
          <w:sz w:val="24"/>
          <w:szCs w:val="24"/>
        </w:rPr>
        <w:t xml:space="preserve">Coordinator </w:t>
      </w:r>
      <w:r w:rsidR="0090612B">
        <w:rPr>
          <w:rFonts w:eastAsiaTheme="minorEastAsia"/>
          <w:b/>
          <w:bCs/>
          <w:sz w:val="24"/>
          <w:szCs w:val="24"/>
        </w:rPr>
        <w:t>of</w:t>
      </w:r>
      <w:r w:rsidR="0090612B" w:rsidRPr="0090612B">
        <w:rPr>
          <w:rFonts w:eastAsiaTheme="minorEastAsia"/>
          <w:b/>
          <w:bCs/>
          <w:sz w:val="24"/>
          <w:szCs w:val="24"/>
        </w:rPr>
        <w:t xml:space="preserve"> Center for Health Education and Wellness</w:t>
      </w:r>
    </w:p>
    <w:p w14:paraId="001443CE" w14:textId="77777777" w:rsidR="00A8505E" w:rsidRDefault="00A8505E" w:rsidP="00611853">
      <w:pPr>
        <w:pStyle w:val="ListParagraph"/>
        <w:spacing w:after="0" w:line="240" w:lineRule="auto"/>
        <w:ind w:left="0"/>
        <w:rPr>
          <w:rFonts w:eastAsiaTheme="minorEastAsia"/>
          <w:sz w:val="24"/>
          <w:szCs w:val="24"/>
        </w:rPr>
      </w:pPr>
    </w:p>
    <w:p w14:paraId="50A01C30" w14:textId="6B45F429" w:rsidR="0090612B" w:rsidRDefault="0090612B" w:rsidP="00611853">
      <w:pPr>
        <w:pStyle w:val="ListParagraph"/>
        <w:spacing w:after="0" w:line="240" w:lineRule="auto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Mr. Al-Wadei shared that Be Well program is geared towards UT employees. The program holds various events to encourage employees to be well through activity, nu</w:t>
      </w:r>
      <w:r w:rsidR="002D7630">
        <w:rPr>
          <w:rFonts w:eastAsiaTheme="minorEastAsia"/>
          <w:sz w:val="24"/>
          <w:szCs w:val="24"/>
        </w:rPr>
        <w:t xml:space="preserve">trition, and tobacco cessation. Visit </w:t>
      </w:r>
      <w:hyperlink r:id="rId8" w:history="1">
        <w:r w:rsidRPr="0062397D">
          <w:rPr>
            <w:rStyle w:val="Hyperlink"/>
            <w:rFonts w:eastAsiaTheme="minorEastAsia"/>
            <w:sz w:val="24"/>
            <w:szCs w:val="24"/>
          </w:rPr>
          <w:t>https://bewell.utk.edu/</w:t>
        </w:r>
      </w:hyperlink>
      <w:r w:rsidR="002D7630" w:rsidRPr="002D7630">
        <w:rPr>
          <w:rStyle w:val="Hyperlink"/>
          <w:rFonts w:eastAsiaTheme="minorEastAsia"/>
          <w:color w:val="auto"/>
          <w:sz w:val="24"/>
          <w:szCs w:val="24"/>
          <w:u w:val="none"/>
        </w:rPr>
        <w:t xml:space="preserve"> for more details</w:t>
      </w:r>
      <w:r>
        <w:rPr>
          <w:rFonts w:eastAsiaTheme="minorEastAsia"/>
          <w:sz w:val="24"/>
          <w:szCs w:val="24"/>
        </w:rPr>
        <w:t xml:space="preserve">. </w:t>
      </w:r>
    </w:p>
    <w:p w14:paraId="5B8B13C6" w14:textId="77777777" w:rsidR="000A0104" w:rsidRDefault="000A0104" w:rsidP="00611853">
      <w:pPr>
        <w:pStyle w:val="ListParagraph"/>
        <w:spacing w:after="0" w:line="240" w:lineRule="auto"/>
        <w:ind w:left="0"/>
        <w:rPr>
          <w:rFonts w:eastAsiaTheme="minorEastAsia"/>
          <w:sz w:val="24"/>
          <w:szCs w:val="24"/>
        </w:rPr>
      </w:pPr>
    </w:p>
    <w:p w14:paraId="704A1476" w14:textId="4C7BC4C7" w:rsidR="000A0104" w:rsidRPr="00F04E23" w:rsidRDefault="00F04E23" w:rsidP="000A0104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Employee Relations Advisory Organization and the Representative’s Role</w:t>
      </w:r>
    </w:p>
    <w:p w14:paraId="6DA3E4D1" w14:textId="405931CC" w:rsidR="00F04E23" w:rsidRPr="00F04E23" w:rsidRDefault="00F04E23" w:rsidP="00F04E2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Dr. Mike Herbstritt, Executive Director for Human Resources, and Mrs. Julie Roe, Sr. Employee Relations Counselor, </w:t>
      </w:r>
      <w:r w:rsidR="002D7630">
        <w:rPr>
          <w:rFonts w:eastAsiaTheme="minorEastAsia"/>
          <w:sz w:val="24"/>
          <w:szCs w:val="24"/>
        </w:rPr>
        <w:t>presented training on</w:t>
      </w:r>
      <w:r>
        <w:rPr>
          <w:rFonts w:eastAsiaTheme="minorEastAsia"/>
          <w:sz w:val="24"/>
          <w:szCs w:val="24"/>
        </w:rPr>
        <w:t xml:space="preserve"> Employee Relations Advisory Organization and the representative’s role. The ERAO provides a direct channel of communications between staff and university officials for in</w:t>
      </w:r>
      <w:r w:rsidR="002D7630">
        <w:rPr>
          <w:rFonts w:eastAsiaTheme="minorEastAsia"/>
          <w:sz w:val="24"/>
          <w:szCs w:val="24"/>
        </w:rPr>
        <w:t xml:space="preserve">formation and advisory purposes, </w:t>
      </w:r>
      <w:r>
        <w:rPr>
          <w:rFonts w:eastAsiaTheme="minorEastAsia"/>
          <w:sz w:val="24"/>
          <w:szCs w:val="24"/>
        </w:rPr>
        <w:t xml:space="preserve">and provides university officials with an effective method of soliciting and disseminating information. The representatives’ role in ERAO includes attending </w:t>
      </w:r>
      <w:r w:rsidRPr="00F04E23">
        <w:rPr>
          <w:rFonts w:eastAsiaTheme="minorEastAsia"/>
          <w:sz w:val="24"/>
          <w:szCs w:val="24"/>
        </w:rPr>
        <w:t>monthly mee</w:t>
      </w:r>
      <w:r>
        <w:rPr>
          <w:rFonts w:eastAsiaTheme="minorEastAsia"/>
          <w:sz w:val="24"/>
          <w:szCs w:val="24"/>
        </w:rPr>
        <w:t>tings with university officials; voicing</w:t>
      </w:r>
      <w:r w:rsidRPr="00F04E23">
        <w:rPr>
          <w:rFonts w:eastAsiaTheme="minorEastAsia"/>
          <w:sz w:val="24"/>
          <w:szCs w:val="24"/>
        </w:rPr>
        <w:t xml:space="preserve"> concerns and feedback</w:t>
      </w:r>
      <w:r>
        <w:rPr>
          <w:rFonts w:eastAsiaTheme="minorEastAsia"/>
          <w:sz w:val="24"/>
          <w:szCs w:val="24"/>
        </w:rPr>
        <w:t xml:space="preserve"> raised by constituents; r</w:t>
      </w:r>
      <w:r w:rsidRPr="00F04E23">
        <w:rPr>
          <w:rFonts w:eastAsiaTheme="minorEastAsia"/>
          <w:sz w:val="24"/>
          <w:szCs w:val="24"/>
        </w:rPr>
        <w:t>elay</w:t>
      </w:r>
      <w:r>
        <w:rPr>
          <w:rFonts w:eastAsiaTheme="minorEastAsia"/>
          <w:sz w:val="24"/>
          <w:szCs w:val="24"/>
        </w:rPr>
        <w:t>ing</w:t>
      </w:r>
      <w:r w:rsidRPr="00F04E23">
        <w:rPr>
          <w:rFonts w:eastAsiaTheme="minorEastAsia"/>
          <w:sz w:val="24"/>
          <w:szCs w:val="24"/>
        </w:rPr>
        <w:t xml:space="preserve"> information collected at the monthly m</w:t>
      </w:r>
      <w:r>
        <w:rPr>
          <w:rFonts w:eastAsiaTheme="minorEastAsia"/>
          <w:sz w:val="24"/>
          <w:szCs w:val="24"/>
        </w:rPr>
        <w:t>eetings to constituents; and a</w:t>
      </w:r>
      <w:r w:rsidRPr="00F04E23">
        <w:rPr>
          <w:rFonts w:eastAsiaTheme="minorEastAsia"/>
          <w:sz w:val="24"/>
          <w:szCs w:val="24"/>
        </w:rPr>
        <w:t>ssist</w:t>
      </w:r>
      <w:r>
        <w:rPr>
          <w:rFonts w:eastAsiaTheme="minorEastAsia"/>
          <w:sz w:val="24"/>
          <w:szCs w:val="24"/>
        </w:rPr>
        <w:t>ing</w:t>
      </w:r>
      <w:r w:rsidRPr="00F04E23">
        <w:rPr>
          <w:rFonts w:eastAsiaTheme="minorEastAsia"/>
          <w:sz w:val="24"/>
          <w:szCs w:val="24"/>
        </w:rPr>
        <w:t xml:space="preserve"> constituents, upon request, during the university’s formal Disciplinary Action Process</w:t>
      </w:r>
      <w:r>
        <w:rPr>
          <w:rFonts w:eastAsiaTheme="minorEastAsia"/>
          <w:sz w:val="24"/>
          <w:szCs w:val="24"/>
        </w:rPr>
        <w:t xml:space="preserve">. </w:t>
      </w:r>
    </w:p>
    <w:p w14:paraId="6E1A8B65" w14:textId="71C781E6" w:rsidR="008617EB" w:rsidRPr="00943BFD" w:rsidRDefault="524924B1" w:rsidP="00943BFD">
      <w:pPr>
        <w:pStyle w:val="ListParagraph"/>
        <w:numPr>
          <w:ilvl w:val="0"/>
          <w:numId w:val="1"/>
        </w:numPr>
        <w:jc w:val="both"/>
        <w:rPr>
          <w:rFonts w:eastAsiaTheme="minorEastAsia"/>
          <w:b/>
          <w:bCs/>
          <w:sz w:val="24"/>
          <w:szCs w:val="24"/>
        </w:rPr>
      </w:pPr>
      <w:r w:rsidRPr="00943BFD">
        <w:rPr>
          <w:rFonts w:eastAsiaTheme="minorEastAsia"/>
          <w:b/>
          <w:bCs/>
          <w:sz w:val="24"/>
          <w:szCs w:val="24"/>
        </w:rPr>
        <w:t>External Commission Reports</w:t>
      </w:r>
    </w:p>
    <w:p w14:paraId="71C29EE4" w14:textId="1D1F046B" w:rsidR="00F578FB" w:rsidRPr="005F2022" w:rsidRDefault="524924B1" w:rsidP="005F2022">
      <w:pPr>
        <w:rPr>
          <w:rFonts w:ascii="Calibri" w:eastAsia="Calibri" w:hAnsi="Calibri" w:cs="Calibri"/>
          <w:b/>
          <w:bCs/>
          <w:sz w:val="24"/>
          <w:szCs w:val="24"/>
        </w:rPr>
      </w:pPr>
      <w:r w:rsidRPr="005F2022">
        <w:rPr>
          <w:rFonts w:ascii="Calibri" w:eastAsia="Calibri" w:hAnsi="Calibri" w:cs="Calibri"/>
          <w:b/>
          <w:bCs/>
          <w:sz w:val="24"/>
          <w:szCs w:val="24"/>
        </w:rPr>
        <w:t xml:space="preserve">Commission for Blacks — None  </w:t>
      </w:r>
    </w:p>
    <w:p w14:paraId="49F94EEB" w14:textId="7A838783" w:rsidR="00594CEF" w:rsidRPr="00943BFD" w:rsidRDefault="524924B1" w:rsidP="00943BFD">
      <w:pPr>
        <w:rPr>
          <w:rFonts w:ascii="Calibri" w:eastAsia="Calibri" w:hAnsi="Calibri" w:cs="Calibri"/>
          <w:sz w:val="24"/>
          <w:szCs w:val="24"/>
        </w:rPr>
      </w:pPr>
      <w:r w:rsidRPr="524924B1">
        <w:rPr>
          <w:rFonts w:ascii="Calibri" w:eastAsia="Calibri" w:hAnsi="Calibri" w:cs="Calibri"/>
          <w:sz w:val="24"/>
          <w:szCs w:val="24"/>
        </w:rPr>
        <w:t>If you are interested to become representative for Commission for Blacks, please view the committee information at http://cfb.utk.edu</w:t>
      </w:r>
    </w:p>
    <w:p w14:paraId="47BA8B19" w14:textId="3860241C" w:rsidR="00361983" w:rsidRPr="005F2022" w:rsidRDefault="524924B1" w:rsidP="005F2022">
      <w:pPr>
        <w:rPr>
          <w:rFonts w:ascii="Calibri" w:eastAsia="Calibri" w:hAnsi="Calibri" w:cs="Calibri"/>
          <w:b/>
          <w:bCs/>
          <w:sz w:val="24"/>
          <w:szCs w:val="24"/>
        </w:rPr>
      </w:pPr>
      <w:r w:rsidRPr="005F2022">
        <w:rPr>
          <w:rFonts w:ascii="Calibri" w:eastAsia="Calibri" w:hAnsi="Calibri" w:cs="Calibri"/>
          <w:b/>
          <w:bCs/>
          <w:sz w:val="24"/>
          <w:szCs w:val="24"/>
        </w:rPr>
        <w:t xml:space="preserve">Commission for Women — Teresa Fisher </w:t>
      </w:r>
    </w:p>
    <w:p w14:paraId="26A0EAC4" w14:textId="1C373C16" w:rsidR="004830F7" w:rsidRPr="004830F7" w:rsidRDefault="0013290F" w:rsidP="004830F7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Light up the Night even</w:t>
      </w:r>
      <w:r w:rsidR="002D7630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information will be shared </w:t>
      </w:r>
      <w:r w:rsidR="002D7630">
        <w:rPr>
          <w:rFonts w:ascii="Calibri" w:eastAsia="Calibri" w:hAnsi="Calibri" w:cs="Calibri"/>
          <w:sz w:val="24"/>
          <w:szCs w:val="24"/>
        </w:rPr>
        <w:t>as it becomes available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</w:p>
    <w:p w14:paraId="60BCE06F" w14:textId="5618AA47" w:rsidR="00507D39" w:rsidRPr="005F2022" w:rsidRDefault="524924B1" w:rsidP="005F2022">
      <w:pPr>
        <w:rPr>
          <w:rFonts w:ascii="Calibri" w:eastAsia="Calibri" w:hAnsi="Calibri" w:cs="Calibri"/>
          <w:b/>
          <w:bCs/>
          <w:sz w:val="24"/>
          <w:szCs w:val="24"/>
        </w:rPr>
      </w:pPr>
      <w:r w:rsidRPr="005F2022">
        <w:rPr>
          <w:rFonts w:ascii="Calibri" w:eastAsia="Calibri" w:hAnsi="Calibri" w:cs="Calibri"/>
          <w:b/>
          <w:bCs/>
          <w:sz w:val="24"/>
          <w:szCs w:val="24"/>
        </w:rPr>
        <w:t xml:space="preserve">LGBT Commission — Eric Carr </w:t>
      </w:r>
    </w:p>
    <w:p w14:paraId="5A96D733" w14:textId="4C16EAB9" w:rsidR="0084301E" w:rsidRPr="00092AA3" w:rsidRDefault="0084301E" w:rsidP="00594CEF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LGBT commission </w:t>
      </w:r>
      <w:r w:rsidR="0013290F">
        <w:rPr>
          <w:rFonts w:ascii="Calibri" w:eastAsia="Calibri" w:hAnsi="Calibri" w:cs="Calibri"/>
          <w:sz w:val="24"/>
          <w:szCs w:val="24"/>
        </w:rPr>
        <w:t>is working on a campus</w:t>
      </w:r>
      <w:r w:rsidR="007256DD">
        <w:rPr>
          <w:rFonts w:ascii="Calibri" w:eastAsia="Calibri" w:hAnsi="Calibri" w:cs="Calibri"/>
          <w:sz w:val="24"/>
          <w:szCs w:val="24"/>
        </w:rPr>
        <w:t xml:space="preserve"> survey </w:t>
      </w:r>
      <w:r>
        <w:rPr>
          <w:rFonts w:ascii="Calibri" w:eastAsia="Calibri" w:hAnsi="Calibri" w:cs="Calibri"/>
          <w:sz w:val="24"/>
          <w:szCs w:val="24"/>
        </w:rPr>
        <w:t>to better serve their commission.</w:t>
      </w:r>
      <w:r w:rsidR="002D7630">
        <w:rPr>
          <w:rFonts w:ascii="Calibri" w:eastAsia="Calibri" w:hAnsi="Calibri" w:cs="Calibri"/>
          <w:sz w:val="24"/>
          <w:szCs w:val="24"/>
        </w:rPr>
        <w:t xml:space="preserve"> </w:t>
      </w:r>
    </w:p>
    <w:p w14:paraId="2A6F3A33" w14:textId="115FC504" w:rsidR="00DA4BD1" w:rsidRPr="005F2022" w:rsidRDefault="00943BFD" w:rsidP="005F2022">
      <w:pPr>
        <w:rPr>
          <w:rFonts w:ascii="Calibri" w:eastAsia="Calibri" w:hAnsi="Calibri" w:cs="Calibri"/>
          <w:b/>
          <w:bCs/>
          <w:sz w:val="24"/>
          <w:szCs w:val="24"/>
        </w:rPr>
      </w:pPr>
      <w:r w:rsidRPr="005F2022">
        <w:rPr>
          <w:rFonts w:ascii="Calibri" w:eastAsia="Calibri" w:hAnsi="Calibri" w:cs="Calibri"/>
          <w:b/>
          <w:bCs/>
          <w:sz w:val="24"/>
          <w:szCs w:val="24"/>
        </w:rPr>
        <w:t xml:space="preserve">Faculty Senate — </w:t>
      </w:r>
      <w:r w:rsidR="0013290F">
        <w:rPr>
          <w:rFonts w:ascii="Calibri" w:eastAsia="Calibri" w:hAnsi="Calibri" w:cs="Calibri"/>
          <w:b/>
          <w:bCs/>
          <w:sz w:val="24"/>
          <w:szCs w:val="24"/>
        </w:rPr>
        <w:t xml:space="preserve">Eric Carr </w:t>
      </w:r>
    </w:p>
    <w:p w14:paraId="2C9DAB7C" w14:textId="26378A09" w:rsidR="0084301E" w:rsidRDefault="0013290F" w:rsidP="0084301E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Chancellor Davenport shared the outsourcing decision</w:t>
      </w:r>
      <w:r w:rsidR="002D7630">
        <w:rPr>
          <w:rFonts w:eastAsiaTheme="minorEastAsia"/>
          <w:sz w:val="24"/>
          <w:szCs w:val="24"/>
        </w:rPr>
        <w:t xml:space="preserve"> at the last Faculty Senate meeting</w:t>
      </w:r>
      <w:r>
        <w:rPr>
          <w:rFonts w:eastAsiaTheme="minorEastAsia"/>
          <w:sz w:val="24"/>
          <w:szCs w:val="24"/>
        </w:rPr>
        <w:t xml:space="preserve">. </w:t>
      </w:r>
    </w:p>
    <w:p w14:paraId="4D1BF5A7" w14:textId="1C7C977E" w:rsidR="0084301E" w:rsidRPr="0084301E" w:rsidRDefault="524924B1" w:rsidP="0084301E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0084301E">
        <w:rPr>
          <w:rFonts w:ascii="Calibri" w:eastAsia="Calibri" w:hAnsi="Calibri" w:cs="Calibri"/>
          <w:b/>
          <w:bCs/>
          <w:sz w:val="24"/>
          <w:szCs w:val="24"/>
        </w:rPr>
        <w:lastRenderedPageBreak/>
        <w:t>Is</w:t>
      </w:r>
      <w:r w:rsidR="0084301E">
        <w:rPr>
          <w:rFonts w:ascii="Calibri" w:eastAsia="Calibri" w:hAnsi="Calibri" w:cs="Calibri"/>
          <w:b/>
          <w:bCs/>
          <w:sz w:val="24"/>
          <w:szCs w:val="24"/>
        </w:rPr>
        <w:t>sues/Questions from constituents</w:t>
      </w:r>
    </w:p>
    <w:p w14:paraId="3CD3C6E8" w14:textId="2B368410" w:rsidR="0013290F" w:rsidRDefault="002D7630" w:rsidP="0013290F">
      <w:pPr>
        <w:spacing w:after="0" w:line="240" w:lineRule="auto"/>
      </w:pPr>
      <w:r>
        <w:t xml:space="preserve">Question: Is there any </w:t>
      </w:r>
      <w:r w:rsidR="00C61302">
        <w:t>i</w:t>
      </w:r>
      <w:r>
        <w:t xml:space="preserve">nformation on </w:t>
      </w:r>
      <w:r w:rsidR="00E87031">
        <w:t>co</w:t>
      </w:r>
      <w:r>
        <w:t>mmuter parking for</w:t>
      </w:r>
      <w:r w:rsidR="00C61302">
        <w:t xml:space="preserve"> UTIA campus? </w:t>
      </w:r>
    </w:p>
    <w:p w14:paraId="59FF3CBD" w14:textId="77777777" w:rsidR="00E87031" w:rsidRDefault="00E87031" w:rsidP="0013290F">
      <w:pPr>
        <w:spacing w:after="0" w:line="240" w:lineRule="auto"/>
      </w:pPr>
    </w:p>
    <w:p w14:paraId="473E19A1" w14:textId="600A3802" w:rsidR="00E87031" w:rsidRPr="00C61302" w:rsidRDefault="00C61302" w:rsidP="00E87031">
      <w:pPr>
        <w:spacing w:after="0" w:line="240" w:lineRule="auto"/>
      </w:pPr>
      <w:r>
        <w:t xml:space="preserve">Answer: </w:t>
      </w:r>
      <w:r w:rsidR="00E87031" w:rsidRPr="00C61302">
        <w:t>There is no differentiation bet</w:t>
      </w:r>
      <w:r>
        <w:t xml:space="preserve">ween commuter permits on main campus and </w:t>
      </w:r>
      <w:r w:rsidR="00E87031" w:rsidRPr="00C61302">
        <w:t>UTIA campus</w:t>
      </w:r>
      <w:r>
        <w:t>. As such, there are</w:t>
      </w:r>
      <w:r w:rsidR="00E87031" w:rsidRPr="00C61302">
        <w:t xml:space="preserve"> no separate UTIA commuter permit</w:t>
      </w:r>
      <w:r>
        <w:t>s</w:t>
      </w:r>
      <w:r w:rsidR="00E87031" w:rsidRPr="00C61302">
        <w:t xml:space="preserve">. UT Parking </w:t>
      </w:r>
      <w:r w:rsidR="002D7630">
        <w:t xml:space="preserve">&amp; Transit Services </w:t>
      </w:r>
      <w:r w:rsidR="00E87031" w:rsidRPr="00C61302">
        <w:t>works closely with UTIA administrators and operations staff on parking assignments, enforcement, comm</w:t>
      </w:r>
      <w:r>
        <w:t>unications</w:t>
      </w:r>
      <w:r w:rsidR="002D7630">
        <w:t>,</w:t>
      </w:r>
      <w:r>
        <w:t xml:space="preserve"> and transit service. C</w:t>
      </w:r>
      <w:r w:rsidR="00E87031" w:rsidRPr="00C61302">
        <w:t>urrently</w:t>
      </w:r>
      <w:r>
        <w:t>, there are</w:t>
      </w:r>
      <w:r w:rsidR="00E87031" w:rsidRPr="00C61302">
        <w:t xml:space="preserve"> 575 commuter parking spaces on the UTIA campus. Additionally, the UT Visitors Center lower lot is specifically designated for UTIA com</w:t>
      </w:r>
      <w:r w:rsidR="002D7630">
        <w:t xml:space="preserve">muter and faculty/staff parking. The </w:t>
      </w:r>
      <w:r w:rsidR="00E87031" w:rsidRPr="00C61302">
        <w:t>C22 commuter lot at the</w:t>
      </w:r>
      <w:r>
        <w:t xml:space="preserve"> corner of Volunteer Blvd West and</w:t>
      </w:r>
      <w:r w:rsidR="00E87031" w:rsidRPr="00C61302">
        <w:t xml:space="preserve"> Todd Helton Dr</w:t>
      </w:r>
      <w:r>
        <w:t>ive</w:t>
      </w:r>
      <w:r w:rsidR="00E87031" w:rsidRPr="00C61302">
        <w:t xml:space="preserve"> is also </w:t>
      </w:r>
      <w:r w:rsidR="002D7630">
        <w:t xml:space="preserve">designated for </w:t>
      </w:r>
      <w:r w:rsidR="00E87031" w:rsidRPr="00C61302">
        <w:t xml:space="preserve">commuters. </w:t>
      </w:r>
    </w:p>
    <w:p w14:paraId="6433F72D" w14:textId="77777777" w:rsidR="00E87031" w:rsidRDefault="00E87031" w:rsidP="00E87031">
      <w:pPr>
        <w:spacing w:after="0" w:line="240" w:lineRule="auto"/>
        <w:rPr>
          <w:b/>
          <w:i/>
          <w:u w:val="single"/>
        </w:rPr>
      </w:pPr>
    </w:p>
    <w:p w14:paraId="389E6C70" w14:textId="46E9422F" w:rsidR="00E87031" w:rsidRDefault="00C61302" w:rsidP="00E87031">
      <w:pPr>
        <w:spacing w:after="0" w:line="240" w:lineRule="auto"/>
      </w:pPr>
      <w:r>
        <w:t xml:space="preserve">Question: </w:t>
      </w:r>
      <w:r w:rsidR="00E87031" w:rsidRPr="00E87031">
        <w:t>Does UT over sell commuter</w:t>
      </w:r>
      <w:r w:rsidR="00E87031">
        <w:t xml:space="preserve"> parking</w:t>
      </w:r>
      <w:r w:rsidR="00E87031" w:rsidRPr="00E87031">
        <w:t xml:space="preserve"> tags? </w:t>
      </w:r>
    </w:p>
    <w:p w14:paraId="590FB2B7" w14:textId="77777777" w:rsidR="00E87031" w:rsidRDefault="00E87031" w:rsidP="00E87031">
      <w:pPr>
        <w:spacing w:after="0" w:line="240" w:lineRule="auto"/>
      </w:pPr>
    </w:p>
    <w:p w14:paraId="16444BEA" w14:textId="3094E4B8" w:rsidR="00E87031" w:rsidRDefault="00C61302" w:rsidP="00E87031">
      <w:pPr>
        <w:spacing w:after="0" w:line="240" w:lineRule="auto"/>
      </w:pPr>
      <w:r>
        <w:t xml:space="preserve">Answer: </w:t>
      </w:r>
      <w:r w:rsidR="00E87031" w:rsidRPr="00C61302">
        <w:t>The long-standing overall commuter space-to-permit ratio is 1.85 and the current ratio stands at 1.65</w:t>
      </w:r>
      <w:r>
        <w:t>, which is</w:t>
      </w:r>
      <w:r w:rsidR="00E87031" w:rsidRPr="00C61302">
        <w:t xml:space="preserve"> well under the maximum allowable rate. Some other SEC schools hav</w:t>
      </w:r>
      <w:r>
        <w:t xml:space="preserve">e much higher ratios, for example, the ratio for Louisiana State University is </w:t>
      </w:r>
      <w:r w:rsidR="00E87031" w:rsidRPr="00C61302">
        <w:t>2.1</w:t>
      </w:r>
      <w:r>
        <w:t xml:space="preserve"> and</w:t>
      </w:r>
      <w:r w:rsidR="00E87031" w:rsidRPr="00C61302">
        <w:t xml:space="preserve"> </w:t>
      </w:r>
      <w:r>
        <w:t>2.5 for University of Mississippi</w:t>
      </w:r>
      <w:r w:rsidR="00E87031" w:rsidRPr="00C61302">
        <w:t xml:space="preserve">. </w:t>
      </w:r>
    </w:p>
    <w:p w14:paraId="15F6C33B" w14:textId="77777777" w:rsidR="0013290F" w:rsidRDefault="0013290F" w:rsidP="0013290F">
      <w:pPr>
        <w:spacing w:after="0" w:line="240" w:lineRule="auto"/>
      </w:pPr>
    </w:p>
    <w:p w14:paraId="23828827" w14:textId="5AC5AC45" w:rsidR="0013290F" w:rsidRDefault="00C61302" w:rsidP="0013290F">
      <w:pPr>
        <w:spacing w:after="0" w:line="240" w:lineRule="auto"/>
      </w:pPr>
      <w:r>
        <w:t xml:space="preserve">Question: </w:t>
      </w:r>
      <w:r w:rsidR="00E87031">
        <w:t>Parking lot</w:t>
      </w:r>
      <w:r w:rsidR="0013290F" w:rsidRPr="00C61302">
        <w:t xml:space="preserve"> 66 </w:t>
      </w:r>
      <w:r w:rsidRPr="00C61302">
        <w:t xml:space="preserve">on Ag campus </w:t>
      </w:r>
      <w:r w:rsidR="002D7630">
        <w:t xml:space="preserve">gives </w:t>
      </w:r>
      <w:r w:rsidR="0013290F" w:rsidRPr="00C61302">
        <w:t xml:space="preserve">out </w:t>
      </w:r>
      <w:r w:rsidRPr="00C61302">
        <w:t xml:space="preserve">20 temporary parking tags </w:t>
      </w:r>
      <w:r w:rsidR="0013290F" w:rsidRPr="00C61302">
        <w:t xml:space="preserve">to students each </w:t>
      </w:r>
      <w:r w:rsidRPr="00C61302">
        <w:t xml:space="preserve">day. </w:t>
      </w:r>
      <w:r w:rsidR="0013290F">
        <w:t xml:space="preserve">How many parking </w:t>
      </w:r>
      <w:r>
        <w:t>permits are issued</w:t>
      </w:r>
      <w:r w:rsidR="0013290F">
        <w:t xml:space="preserve"> for lot 66? </w:t>
      </w:r>
    </w:p>
    <w:p w14:paraId="60C7DDDB" w14:textId="77777777" w:rsidR="00E87031" w:rsidRDefault="00E87031" w:rsidP="0013290F">
      <w:pPr>
        <w:spacing w:after="0" w:line="240" w:lineRule="auto"/>
      </w:pPr>
    </w:p>
    <w:p w14:paraId="6E9713F1" w14:textId="737CC261" w:rsidR="00E87031" w:rsidRDefault="00C61302" w:rsidP="0013290F">
      <w:pPr>
        <w:spacing w:after="0" w:line="240" w:lineRule="auto"/>
      </w:pPr>
      <w:r>
        <w:t>Answer: Currently, there</w:t>
      </w:r>
      <w:r w:rsidR="00E87031" w:rsidRPr="00C61302">
        <w:t xml:space="preserve"> are several parking areas on the UTIA campus</w:t>
      </w:r>
      <w:r>
        <w:t xml:space="preserve"> that are</w:t>
      </w:r>
      <w:r w:rsidR="00E87031" w:rsidRPr="00C61302">
        <w:t xml:space="preserve"> desig</w:t>
      </w:r>
      <w:r w:rsidR="002D7630">
        <w:t xml:space="preserve">nated as dual Staff 65/66 areas. There </w:t>
      </w:r>
      <w:r w:rsidR="00E87031" w:rsidRPr="00C61302">
        <w:t xml:space="preserve">is </w:t>
      </w:r>
      <w:r w:rsidR="002D7630">
        <w:t xml:space="preserve">also </w:t>
      </w:r>
      <w:r w:rsidR="00E87031" w:rsidRPr="00C61302">
        <w:t>a Staff 66 area in front of College of Veterinary Medicine</w:t>
      </w:r>
      <w:r>
        <w:t xml:space="preserve"> (CVM).</w:t>
      </w:r>
      <w:r w:rsidR="00E87031" w:rsidRPr="00C61302">
        <w:t xml:space="preserve"> Between these two areas, there are a total of 640 spaces</w:t>
      </w:r>
      <w:r w:rsidR="002D7630">
        <w:t xml:space="preserve"> and </w:t>
      </w:r>
      <w:r w:rsidR="00E87031" w:rsidRPr="00C61302">
        <w:t>595 permits</w:t>
      </w:r>
      <w:r>
        <w:t xml:space="preserve"> were</w:t>
      </w:r>
      <w:r w:rsidR="00E87031" w:rsidRPr="00C61302">
        <w:t xml:space="preserve"> issued. In response to a request by the CVM Administration and due to unique demand from certain CVM students, there is a special “temporary” permit available to their students on a limited basis. These permits are issued by the CVM office and are valid only for a particular day.</w:t>
      </w:r>
    </w:p>
    <w:p w14:paraId="063ADAC0" w14:textId="77777777" w:rsidR="00CD04EF" w:rsidRDefault="00CD04EF" w:rsidP="0013290F">
      <w:pPr>
        <w:spacing w:after="0" w:line="240" w:lineRule="auto"/>
      </w:pPr>
    </w:p>
    <w:p w14:paraId="6E446146" w14:textId="0D55BDD3" w:rsidR="00CD04EF" w:rsidRDefault="00CD04EF" w:rsidP="00CD04EF">
      <w:pPr>
        <w:spacing w:after="0" w:line="240" w:lineRule="auto"/>
      </w:pPr>
      <w:r>
        <w:t>Question: Who is assigned to lot 65? Can</w:t>
      </w:r>
      <w:r w:rsidR="002D7630">
        <w:t xml:space="preserve"> lot 66 tags use empty spaces in</w:t>
      </w:r>
      <w:r>
        <w:t xml:space="preserve"> lot 65?</w:t>
      </w:r>
    </w:p>
    <w:p w14:paraId="58DCE066" w14:textId="77777777" w:rsidR="00CD04EF" w:rsidRDefault="00CD04EF" w:rsidP="00CD04EF">
      <w:pPr>
        <w:spacing w:after="0" w:line="240" w:lineRule="auto"/>
      </w:pPr>
    </w:p>
    <w:p w14:paraId="1AE69FC4" w14:textId="1A96217F" w:rsidR="00CD04EF" w:rsidRPr="00C61302" w:rsidRDefault="00CD04EF" w:rsidP="00CD04EF">
      <w:pPr>
        <w:spacing w:after="0" w:line="240" w:lineRule="auto"/>
      </w:pPr>
      <w:r>
        <w:t>Answer: There are 12-15 different departments/divisions on the UTIA campus who have faculty/staff assigned to 65. There are several sections of Staff 65 parking in the center and northern section of the UTIA c</w:t>
      </w:r>
      <w:r w:rsidR="002D7630">
        <w:t xml:space="preserve">ampus. Lot 66 tags can’t park in the empty spaces at </w:t>
      </w:r>
      <w:r>
        <w:t>Lot 65.</w:t>
      </w:r>
    </w:p>
    <w:p w14:paraId="36AC5B04" w14:textId="77777777" w:rsidR="0013290F" w:rsidRDefault="0013290F" w:rsidP="0013290F">
      <w:pPr>
        <w:spacing w:after="0" w:line="240" w:lineRule="auto"/>
      </w:pPr>
    </w:p>
    <w:p w14:paraId="61ADF9C9" w14:textId="67204FE5" w:rsidR="0013290F" w:rsidRDefault="009626AE" w:rsidP="0013290F">
      <w:pPr>
        <w:spacing w:after="0" w:line="240" w:lineRule="auto"/>
      </w:pPr>
      <w:r>
        <w:t xml:space="preserve">Question: Is additional parking space available for </w:t>
      </w:r>
      <w:r w:rsidR="0013290F">
        <w:t xml:space="preserve">faculty/staff </w:t>
      </w:r>
      <w:r>
        <w:t xml:space="preserve">when their designated parking lots are full? </w:t>
      </w:r>
      <w:r w:rsidR="0013290F">
        <w:t xml:space="preserve"> </w:t>
      </w:r>
    </w:p>
    <w:p w14:paraId="0A7B6A1D" w14:textId="77777777" w:rsidR="009626AE" w:rsidRDefault="009626AE" w:rsidP="009626AE">
      <w:pPr>
        <w:spacing w:after="0" w:line="240" w:lineRule="auto"/>
      </w:pPr>
    </w:p>
    <w:p w14:paraId="5B173AD6" w14:textId="4B170ADA" w:rsidR="00CD04EF" w:rsidRDefault="009626AE" w:rsidP="009626AE">
      <w:pPr>
        <w:spacing w:after="0" w:line="240" w:lineRule="auto"/>
      </w:pPr>
      <w:r>
        <w:t xml:space="preserve">Answer: </w:t>
      </w:r>
      <w:r w:rsidR="00E87031" w:rsidRPr="009626AE">
        <w:t xml:space="preserve">The UT Visitors Center lower lot is specifically designated for UTIA commuter and faculty/staff parking. </w:t>
      </w:r>
      <w:r w:rsidR="002D7630">
        <w:t>There</w:t>
      </w:r>
      <w:r w:rsidR="00E87031" w:rsidRPr="009626AE">
        <w:t xml:space="preserve"> is frequent bus service available to UTIA campus.</w:t>
      </w:r>
    </w:p>
    <w:p w14:paraId="25391556" w14:textId="77777777" w:rsidR="00CD04EF" w:rsidRPr="009626AE" w:rsidRDefault="00CD04EF" w:rsidP="009626AE">
      <w:pPr>
        <w:spacing w:after="0" w:line="240" w:lineRule="auto"/>
      </w:pPr>
    </w:p>
    <w:p w14:paraId="3CF37AAA" w14:textId="77777777" w:rsidR="00CD04EF" w:rsidRDefault="00CD04EF" w:rsidP="00CD04EF">
      <w:pPr>
        <w:spacing w:after="0" w:line="240" w:lineRule="auto"/>
      </w:pPr>
      <w:r>
        <w:t xml:space="preserve">Question: Are there plans to build more parking lots? </w:t>
      </w:r>
    </w:p>
    <w:p w14:paraId="63B597F5" w14:textId="77777777" w:rsidR="00CD04EF" w:rsidRDefault="00CD04EF" w:rsidP="00CD04EF">
      <w:pPr>
        <w:spacing w:after="0" w:line="240" w:lineRule="auto"/>
      </w:pPr>
    </w:p>
    <w:p w14:paraId="0D2C8538" w14:textId="08AA93B6" w:rsidR="0013290F" w:rsidRDefault="00CD04EF" w:rsidP="00CD04EF">
      <w:pPr>
        <w:spacing w:after="0" w:line="240" w:lineRule="auto"/>
      </w:pPr>
      <w:r>
        <w:t>Answer: The new Lake A</w:t>
      </w:r>
      <w:r w:rsidR="002D7630">
        <w:t>venue</w:t>
      </w:r>
      <w:r>
        <w:t xml:space="preserve"> Garage will add 1,020 new commuter spaces to the campus.</w:t>
      </w:r>
    </w:p>
    <w:p w14:paraId="02F2FAB0" w14:textId="77777777" w:rsidR="00CD04EF" w:rsidRDefault="00CD04EF" w:rsidP="00CD04EF">
      <w:pPr>
        <w:spacing w:after="0" w:line="240" w:lineRule="auto"/>
      </w:pPr>
    </w:p>
    <w:p w14:paraId="6A548802" w14:textId="12F17307" w:rsidR="0013290F" w:rsidRDefault="009626AE" w:rsidP="0013290F">
      <w:pPr>
        <w:spacing w:after="0" w:line="240" w:lineRule="auto"/>
      </w:pPr>
      <w:r>
        <w:t>Question: Can UT Parking</w:t>
      </w:r>
      <w:r w:rsidR="0013290F">
        <w:t xml:space="preserve"> monitor </w:t>
      </w:r>
      <w:r>
        <w:t>CVM</w:t>
      </w:r>
      <w:r w:rsidR="0013290F">
        <w:t xml:space="preserve"> parking </w:t>
      </w:r>
      <w:r>
        <w:t>more closely to avoid any unapproved</w:t>
      </w:r>
      <w:r w:rsidR="0013290F">
        <w:t xml:space="preserve"> </w:t>
      </w:r>
      <w:r>
        <w:t xml:space="preserve">parking? </w:t>
      </w:r>
    </w:p>
    <w:p w14:paraId="612BF810" w14:textId="77777777" w:rsidR="00E87031" w:rsidRDefault="00E87031" w:rsidP="0013290F">
      <w:pPr>
        <w:spacing w:after="0" w:line="240" w:lineRule="auto"/>
      </w:pPr>
    </w:p>
    <w:p w14:paraId="006D0EAF" w14:textId="53D69913" w:rsidR="00CD04EF" w:rsidRDefault="009626AE" w:rsidP="0013290F">
      <w:pPr>
        <w:spacing w:after="0" w:line="240" w:lineRule="auto"/>
      </w:pPr>
      <w:r>
        <w:t xml:space="preserve">Answer: </w:t>
      </w:r>
      <w:r w:rsidR="00E87031" w:rsidRPr="00E87031">
        <w:t xml:space="preserve">Yes, monitoring and enforcement of this area can be increased. UT Parking </w:t>
      </w:r>
      <w:r w:rsidR="002D7630">
        <w:t xml:space="preserve">&amp; Transit Services </w:t>
      </w:r>
      <w:r w:rsidR="00E87031" w:rsidRPr="00E87031">
        <w:t xml:space="preserve">works closely with UTIA General </w:t>
      </w:r>
      <w:r w:rsidRPr="00E87031">
        <w:t>Service’s</w:t>
      </w:r>
      <w:r w:rsidR="00E87031" w:rsidRPr="00E87031">
        <w:t xml:space="preserve"> staff on monitoring and enforcement of all areas of the UTIA.</w:t>
      </w:r>
    </w:p>
    <w:p w14:paraId="47F29575" w14:textId="72D8FF13" w:rsidR="0013290F" w:rsidRDefault="009626AE" w:rsidP="0013290F">
      <w:pPr>
        <w:spacing w:after="0" w:line="240" w:lineRule="auto"/>
      </w:pPr>
      <w:r>
        <w:t>Question: What office issues</w:t>
      </w:r>
      <w:r w:rsidR="0013290F">
        <w:t xml:space="preserve"> orange dots to staff</w:t>
      </w:r>
      <w:r>
        <w:t>/faculty</w:t>
      </w:r>
      <w:r w:rsidR="0013290F">
        <w:t>?</w:t>
      </w:r>
    </w:p>
    <w:p w14:paraId="7ED1CCD9" w14:textId="77777777" w:rsidR="009626AE" w:rsidRDefault="009626AE" w:rsidP="0013290F">
      <w:pPr>
        <w:spacing w:after="0" w:line="240" w:lineRule="auto"/>
      </w:pPr>
    </w:p>
    <w:p w14:paraId="48D0287A" w14:textId="6ABB5D52" w:rsidR="009626AE" w:rsidRDefault="009626AE" w:rsidP="009626AE">
      <w:pPr>
        <w:spacing w:after="0" w:line="240" w:lineRule="auto"/>
      </w:pPr>
      <w:r>
        <w:t xml:space="preserve">Answer: </w:t>
      </w:r>
      <w:r w:rsidR="00C61302" w:rsidRPr="00C61302">
        <w:t>UT Parking</w:t>
      </w:r>
      <w:r w:rsidR="002D7630">
        <w:t xml:space="preserve"> &amp; Transit Services. They are located at 2121 Stephenson Drive. </w:t>
      </w:r>
      <w:bookmarkStart w:id="0" w:name="_GoBack"/>
      <w:bookmarkEnd w:id="0"/>
    </w:p>
    <w:p w14:paraId="2C997D6D" w14:textId="77777777" w:rsidR="00CD04EF" w:rsidRPr="009626AE" w:rsidRDefault="00CD04EF" w:rsidP="009626AE">
      <w:pPr>
        <w:spacing w:after="0" w:line="240" w:lineRule="auto"/>
      </w:pPr>
    </w:p>
    <w:p w14:paraId="7B1BD1B3" w14:textId="4DAB9F97" w:rsidR="000D4AA3" w:rsidRDefault="00A8505E" w:rsidP="000D4AA3">
      <w:pPr>
        <w:pStyle w:val="ListParagraph"/>
        <w:numPr>
          <w:ilvl w:val="0"/>
          <w:numId w:val="1"/>
        </w:numPr>
        <w:spacing w:after="200" w:line="276" w:lineRule="auto"/>
        <w:rPr>
          <w:iCs/>
        </w:rPr>
      </w:pPr>
      <w:r w:rsidRPr="000D4AA3">
        <w:rPr>
          <w:b/>
          <w:iCs/>
        </w:rPr>
        <w:lastRenderedPageBreak/>
        <w:t>Meeting Location Change-</w:t>
      </w:r>
      <w:r w:rsidRPr="000D4AA3">
        <w:rPr>
          <w:iCs/>
        </w:rPr>
        <w:t xml:space="preserve"> </w:t>
      </w:r>
      <w:r w:rsidR="0084301E" w:rsidRPr="000D4AA3">
        <w:rPr>
          <w:iCs/>
        </w:rPr>
        <w:t>The 2018 Exempt Staff Council meeting location has been changed to</w:t>
      </w:r>
      <w:r w:rsidRPr="000D4AA3">
        <w:rPr>
          <w:iCs/>
        </w:rPr>
        <w:t xml:space="preserve"> </w:t>
      </w:r>
      <w:r w:rsidR="000D4AA3" w:rsidRPr="000D4AA3">
        <w:rPr>
          <w:iCs/>
        </w:rPr>
        <w:t xml:space="preserve">Institute for Public Service at 1610 University Ave., Room 118. </w:t>
      </w:r>
    </w:p>
    <w:p w14:paraId="4C1654C6" w14:textId="77777777" w:rsidR="000D4AA3" w:rsidRPr="000D4AA3" w:rsidRDefault="000D4AA3" w:rsidP="000D4AA3">
      <w:pPr>
        <w:pStyle w:val="ListParagraph"/>
        <w:spacing w:after="200" w:line="276" w:lineRule="auto"/>
        <w:ind w:left="360"/>
        <w:rPr>
          <w:iCs/>
        </w:rPr>
      </w:pPr>
    </w:p>
    <w:p w14:paraId="4FD69A0F" w14:textId="44D1EF63" w:rsidR="00943BFD" w:rsidRPr="00943BFD" w:rsidRDefault="00943BFD" w:rsidP="00943BFD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Next Meeting </w:t>
      </w:r>
    </w:p>
    <w:p w14:paraId="678B9171" w14:textId="13EEBCD1" w:rsidR="00C0335B" w:rsidRPr="007256DD" w:rsidRDefault="0013290F" w:rsidP="007256DD">
      <w:pPr>
        <w:rPr>
          <w:iCs/>
        </w:rPr>
      </w:pPr>
      <w:r>
        <w:rPr>
          <w:iCs/>
        </w:rPr>
        <w:t>January 23</w:t>
      </w:r>
      <w:r w:rsidR="524924B1" w:rsidRPr="007256DD">
        <w:rPr>
          <w:iCs/>
        </w:rPr>
        <w:t xml:space="preserve">, 2017 @ 2:30pm at </w:t>
      </w:r>
      <w:r w:rsidR="007256DD" w:rsidRPr="007256DD">
        <w:rPr>
          <w:iCs/>
        </w:rPr>
        <w:t>UT Institute for Public Service –</w:t>
      </w:r>
      <w:r>
        <w:rPr>
          <w:iCs/>
        </w:rPr>
        <w:t xml:space="preserve"> 1610 University Ave., Room 118</w:t>
      </w:r>
    </w:p>
    <w:sectPr w:rsidR="00C0335B" w:rsidRPr="007256DD" w:rsidSect="00D2792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F84C2" w14:textId="77777777" w:rsidR="00BB6EE6" w:rsidRDefault="00BB6EE6" w:rsidP="00092AA3">
      <w:pPr>
        <w:spacing w:after="0" w:line="240" w:lineRule="auto"/>
      </w:pPr>
      <w:r>
        <w:separator/>
      </w:r>
    </w:p>
  </w:endnote>
  <w:endnote w:type="continuationSeparator" w:id="0">
    <w:p w14:paraId="39A67414" w14:textId="77777777" w:rsidR="00BB6EE6" w:rsidRDefault="00BB6EE6" w:rsidP="0009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8A5CC" w14:textId="77777777" w:rsidR="00BB6EE6" w:rsidRDefault="00BB6EE6" w:rsidP="00092AA3">
      <w:pPr>
        <w:spacing w:after="0" w:line="240" w:lineRule="auto"/>
      </w:pPr>
      <w:r>
        <w:separator/>
      </w:r>
    </w:p>
  </w:footnote>
  <w:footnote w:type="continuationSeparator" w:id="0">
    <w:p w14:paraId="02F967B2" w14:textId="77777777" w:rsidR="00BB6EE6" w:rsidRDefault="00BB6EE6" w:rsidP="00092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691B"/>
    <w:multiLevelType w:val="hybridMultilevel"/>
    <w:tmpl w:val="0AC80250"/>
    <w:lvl w:ilvl="0" w:tplc="03567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46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4D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27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8D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6E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02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0A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C7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2A29"/>
    <w:multiLevelType w:val="hybridMultilevel"/>
    <w:tmpl w:val="67767F10"/>
    <w:lvl w:ilvl="0" w:tplc="468CF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7274B"/>
    <w:multiLevelType w:val="hybridMultilevel"/>
    <w:tmpl w:val="5E9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97B09"/>
    <w:multiLevelType w:val="hybridMultilevel"/>
    <w:tmpl w:val="CB7CF38A"/>
    <w:lvl w:ilvl="0" w:tplc="A128FEF2">
      <w:numFmt w:val="bullet"/>
      <w:lvlText w:val=""/>
      <w:lvlJc w:val="left"/>
      <w:pPr>
        <w:ind w:left="184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849074E"/>
    <w:multiLevelType w:val="hybridMultilevel"/>
    <w:tmpl w:val="2D0224F8"/>
    <w:lvl w:ilvl="0" w:tplc="37B694FC">
      <w:start w:val="1"/>
      <w:numFmt w:val="decimal"/>
      <w:lvlText w:val="%1."/>
      <w:lvlJc w:val="left"/>
      <w:pPr>
        <w:ind w:left="720" w:hanging="360"/>
      </w:pPr>
    </w:lvl>
    <w:lvl w:ilvl="1" w:tplc="31F4DCF2">
      <w:start w:val="1"/>
      <w:numFmt w:val="lowerLetter"/>
      <w:lvlText w:val="%2."/>
      <w:lvlJc w:val="left"/>
      <w:pPr>
        <w:ind w:left="1440" w:hanging="360"/>
      </w:pPr>
    </w:lvl>
    <w:lvl w:ilvl="2" w:tplc="E854A2F0">
      <w:start w:val="1"/>
      <w:numFmt w:val="lowerRoman"/>
      <w:lvlText w:val="%3."/>
      <w:lvlJc w:val="right"/>
      <w:pPr>
        <w:ind w:left="2160" w:hanging="180"/>
      </w:pPr>
    </w:lvl>
    <w:lvl w:ilvl="3" w:tplc="6226B0E4">
      <w:start w:val="1"/>
      <w:numFmt w:val="decimal"/>
      <w:lvlText w:val="%4."/>
      <w:lvlJc w:val="left"/>
      <w:pPr>
        <w:ind w:left="2880" w:hanging="360"/>
      </w:pPr>
    </w:lvl>
    <w:lvl w:ilvl="4" w:tplc="AF501140">
      <w:start w:val="1"/>
      <w:numFmt w:val="lowerLetter"/>
      <w:lvlText w:val="%5."/>
      <w:lvlJc w:val="left"/>
      <w:pPr>
        <w:ind w:left="3600" w:hanging="360"/>
      </w:pPr>
    </w:lvl>
    <w:lvl w:ilvl="5" w:tplc="4142F86A">
      <w:start w:val="1"/>
      <w:numFmt w:val="lowerRoman"/>
      <w:lvlText w:val="%6."/>
      <w:lvlJc w:val="right"/>
      <w:pPr>
        <w:ind w:left="4320" w:hanging="180"/>
      </w:pPr>
    </w:lvl>
    <w:lvl w:ilvl="6" w:tplc="A468DD3C">
      <w:start w:val="1"/>
      <w:numFmt w:val="decimal"/>
      <w:lvlText w:val="%7."/>
      <w:lvlJc w:val="left"/>
      <w:pPr>
        <w:ind w:left="5040" w:hanging="360"/>
      </w:pPr>
    </w:lvl>
    <w:lvl w:ilvl="7" w:tplc="E3BE95B2">
      <w:start w:val="1"/>
      <w:numFmt w:val="lowerLetter"/>
      <w:lvlText w:val="%8."/>
      <w:lvlJc w:val="left"/>
      <w:pPr>
        <w:ind w:left="5760" w:hanging="360"/>
      </w:pPr>
    </w:lvl>
    <w:lvl w:ilvl="8" w:tplc="74F8B4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1221"/>
    <w:multiLevelType w:val="hybridMultilevel"/>
    <w:tmpl w:val="858AA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37308F"/>
    <w:multiLevelType w:val="hybridMultilevel"/>
    <w:tmpl w:val="409E7B76"/>
    <w:lvl w:ilvl="0" w:tplc="02B06470">
      <w:start w:val="1"/>
      <w:numFmt w:val="decimal"/>
      <w:lvlText w:val="%1."/>
      <w:lvlJc w:val="left"/>
      <w:pPr>
        <w:ind w:left="720" w:hanging="360"/>
      </w:pPr>
    </w:lvl>
    <w:lvl w:ilvl="1" w:tplc="80B059AA">
      <w:start w:val="1"/>
      <w:numFmt w:val="lowerLetter"/>
      <w:lvlText w:val="%2."/>
      <w:lvlJc w:val="left"/>
      <w:pPr>
        <w:ind w:left="1440" w:hanging="360"/>
      </w:pPr>
    </w:lvl>
    <w:lvl w:ilvl="2" w:tplc="4AFAC906">
      <w:start w:val="1"/>
      <w:numFmt w:val="lowerRoman"/>
      <w:lvlText w:val="%3."/>
      <w:lvlJc w:val="right"/>
      <w:pPr>
        <w:ind w:left="2160" w:hanging="180"/>
      </w:pPr>
    </w:lvl>
    <w:lvl w:ilvl="3" w:tplc="643CF1B8">
      <w:start w:val="1"/>
      <w:numFmt w:val="decimal"/>
      <w:lvlText w:val="%4."/>
      <w:lvlJc w:val="left"/>
      <w:pPr>
        <w:ind w:left="2880" w:hanging="360"/>
      </w:pPr>
    </w:lvl>
    <w:lvl w:ilvl="4" w:tplc="CEF4126E">
      <w:start w:val="1"/>
      <w:numFmt w:val="lowerLetter"/>
      <w:lvlText w:val="%5."/>
      <w:lvlJc w:val="left"/>
      <w:pPr>
        <w:ind w:left="3600" w:hanging="360"/>
      </w:pPr>
    </w:lvl>
    <w:lvl w:ilvl="5" w:tplc="81062C88">
      <w:start w:val="1"/>
      <w:numFmt w:val="lowerRoman"/>
      <w:lvlText w:val="%6."/>
      <w:lvlJc w:val="right"/>
      <w:pPr>
        <w:ind w:left="4320" w:hanging="180"/>
      </w:pPr>
    </w:lvl>
    <w:lvl w:ilvl="6" w:tplc="CB10D468">
      <w:start w:val="1"/>
      <w:numFmt w:val="decimal"/>
      <w:lvlText w:val="%7."/>
      <w:lvlJc w:val="left"/>
      <w:pPr>
        <w:ind w:left="5040" w:hanging="360"/>
      </w:pPr>
    </w:lvl>
    <w:lvl w:ilvl="7" w:tplc="5274C004">
      <w:start w:val="1"/>
      <w:numFmt w:val="lowerLetter"/>
      <w:lvlText w:val="%8."/>
      <w:lvlJc w:val="left"/>
      <w:pPr>
        <w:ind w:left="5760" w:hanging="360"/>
      </w:pPr>
    </w:lvl>
    <w:lvl w:ilvl="8" w:tplc="E18899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652B1"/>
    <w:multiLevelType w:val="hybridMultilevel"/>
    <w:tmpl w:val="D2548FA4"/>
    <w:lvl w:ilvl="0" w:tplc="E8B4C2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1F4DCF2">
      <w:start w:val="1"/>
      <w:numFmt w:val="lowerLetter"/>
      <w:lvlText w:val="%2."/>
      <w:lvlJc w:val="left"/>
      <w:pPr>
        <w:ind w:left="1080" w:hanging="360"/>
      </w:pPr>
    </w:lvl>
    <w:lvl w:ilvl="2" w:tplc="E854A2F0">
      <w:start w:val="1"/>
      <w:numFmt w:val="lowerRoman"/>
      <w:lvlText w:val="%3."/>
      <w:lvlJc w:val="right"/>
      <w:pPr>
        <w:ind w:left="1800" w:hanging="180"/>
      </w:pPr>
    </w:lvl>
    <w:lvl w:ilvl="3" w:tplc="6226B0E4">
      <w:start w:val="1"/>
      <w:numFmt w:val="decimal"/>
      <w:lvlText w:val="%4."/>
      <w:lvlJc w:val="left"/>
      <w:pPr>
        <w:ind w:left="2520" w:hanging="360"/>
      </w:pPr>
    </w:lvl>
    <w:lvl w:ilvl="4" w:tplc="AF501140">
      <w:start w:val="1"/>
      <w:numFmt w:val="lowerLetter"/>
      <w:lvlText w:val="%5."/>
      <w:lvlJc w:val="left"/>
      <w:pPr>
        <w:ind w:left="3240" w:hanging="360"/>
      </w:pPr>
    </w:lvl>
    <w:lvl w:ilvl="5" w:tplc="4142F86A">
      <w:start w:val="1"/>
      <w:numFmt w:val="lowerRoman"/>
      <w:lvlText w:val="%6."/>
      <w:lvlJc w:val="right"/>
      <w:pPr>
        <w:ind w:left="3960" w:hanging="180"/>
      </w:pPr>
    </w:lvl>
    <w:lvl w:ilvl="6" w:tplc="A468DD3C">
      <w:start w:val="1"/>
      <w:numFmt w:val="decimal"/>
      <w:lvlText w:val="%7."/>
      <w:lvlJc w:val="left"/>
      <w:pPr>
        <w:ind w:left="4680" w:hanging="360"/>
      </w:pPr>
    </w:lvl>
    <w:lvl w:ilvl="7" w:tplc="E3BE95B2">
      <w:start w:val="1"/>
      <w:numFmt w:val="lowerLetter"/>
      <w:lvlText w:val="%8."/>
      <w:lvlJc w:val="left"/>
      <w:pPr>
        <w:ind w:left="5400" w:hanging="360"/>
      </w:pPr>
    </w:lvl>
    <w:lvl w:ilvl="8" w:tplc="74F8B454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49558E"/>
    <w:multiLevelType w:val="hybridMultilevel"/>
    <w:tmpl w:val="BD4C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81157"/>
    <w:multiLevelType w:val="hybridMultilevel"/>
    <w:tmpl w:val="2BDE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5028F"/>
    <w:multiLevelType w:val="hybridMultilevel"/>
    <w:tmpl w:val="C4DCCC40"/>
    <w:lvl w:ilvl="0" w:tplc="2B40B12A">
      <w:start w:val="1"/>
      <w:numFmt w:val="lowerLetter"/>
      <w:lvlText w:val="%1."/>
      <w:lvlJc w:val="left"/>
      <w:pPr>
        <w:ind w:left="-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>
      <w:start w:val="1"/>
      <w:numFmt w:val="lowerRoman"/>
      <w:lvlText w:val="%3."/>
      <w:lvlJc w:val="right"/>
      <w:pPr>
        <w:ind w:left="-1080" w:hanging="180"/>
      </w:pPr>
    </w:lvl>
    <w:lvl w:ilvl="3" w:tplc="0409000F">
      <w:start w:val="1"/>
      <w:numFmt w:val="decimal"/>
      <w:lvlText w:val="%4."/>
      <w:lvlJc w:val="left"/>
      <w:pPr>
        <w:ind w:left="-360" w:hanging="360"/>
      </w:pPr>
    </w:lvl>
    <w:lvl w:ilvl="4" w:tplc="04090019">
      <w:start w:val="1"/>
      <w:numFmt w:val="lowerLetter"/>
      <w:lvlText w:val="%5."/>
      <w:lvlJc w:val="left"/>
      <w:pPr>
        <w:ind w:left="360" w:hanging="360"/>
      </w:pPr>
    </w:lvl>
    <w:lvl w:ilvl="5" w:tplc="0409001B">
      <w:start w:val="1"/>
      <w:numFmt w:val="lowerRoman"/>
      <w:lvlText w:val="%6."/>
      <w:lvlJc w:val="right"/>
      <w:pPr>
        <w:ind w:left="1080" w:hanging="180"/>
      </w:pPr>
    </w:lvl>
    <w:lvl w:ilvl="6" w:tplc="0409000F">
      <w:start w:val="1"/>
      <w:numFmt w:val="decimal"/>
      <w:lvlText w:val="%7."/>
      <w:lvlJc w:val="left"/>
      <w:pPr>
        <w:ind w:left="1800" w:hanging="360"/>
      </w:pPr>
    </w:lvl>
    <w:lvl w:ilvl="7" w:tplc="04090019">
      <w:start w:val="1"/>
      <w:numFmt w:val="lowerLetter"/>
      <w:lvlText w:val="%8."/>
      <w:lvlJc w:val="left"/>
      <w:pPr>
        <w:ind w:left="2520" w:hanging="360"/>
      </w:pPr>
    </w:lvl>
    <w:lvl w:ilvl="8" w:tplc="0409001B">
      <w:start w:val="1"/>
      <w:numFmt w:val="lowerRoman"/>
      <w:lvlText w:val="%9."/>
      <w:lvlJc w:val="right"/>
      <w:pPr>
        <w:ind w:left="3240" w:hanging="180"/>
      </w:pPr>
    </w:lvl>
  </w:abstractNum>
  <w:abstractNum w:abstractNumId="11" w15:restartNumberingAfterBreak="0">
    <w:nsid w:val="57DF59C9"/>
    <w:multiLevelType w:val="hybridMultilevel"/>
    <w:tmpl w:val="66006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54456"/>
    <w:multiLevelType w:val="hybridMultilevel"/>
    <w:tmpl w:val="7BC6F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726296"/>
    <w:multiLevelType w:val="hybridMultilevel"/>
    <w:tmpl w:val="6C601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30D314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E042D2"/>
    <w:multiLevelType w:val="hybridMultilevel"/>
    <w:tmpl w:val="96747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BE566F"/>
    <w:multiLevelType w:val="hybridMultilevel"/>
    <w:tmpl w:val="D0CCDE4E"/>
    <w:lvl w:ilvl="0" w:tplc="468CF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84E64"/>
    <w:multiLevelType w:val="hybridMultilevel"/>
    <w:tmpl w:val="0D1AD8B2"/>
    <w:lvl w:ilvl="0" w:tplc="A128FEF2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CC072B"/>
    <w:multiLevelType w:val="hybridMultilevel"/>
    <w:tmpl w:val="42DEA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6"/>
  </w:num>
  <w:num w:numId="7">
    <w:abstractNumId w:val="3"/>
  </w:num>
  <w:num w:numId="8">
    <w:abstractNumId w:val="14"/>
  </w:num>
  <w:num w:numId="9">
    <w:abstractNumId w:val="4"/>
  </w:num>
  <w:num w:numId="10">
    <w:abstractNumId w:val="12"/>
  </w:num>
  <w:num w:numId="11">
    <w:abstractNumId w:val="2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"/>
  </w:num>
  <w:num w:numId="16">
    <w:abstractNumId w:val="15"/>
  </w:num>
  <w:num w:numId="17">
    <w:abstractNumId w:val="8"/>
  </w:num>
  <w:num w:numId="18">
    <w:abstractNumId w:val="1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91AF99"/>
    <w:rsid w:val="00000ADB"/>
    <w:rsid w:val="00003D2F"/>
    <w:rsid w:val="0001003C"/>
    <w:rsid w:val="000103A8"/>
    <w:rsid w:val="000123F6"/>
    <w:rsid w:val="00025923"/>
    <w:rsid w:val="000266CF"/>
    <w:rsid w:val="000648DD"/>
    <w:rsid w:val="00065882"/>
    <w:rsid w:val="00092AA3"/>
    <w:rsid w:val="000A0104"/>
    <w:rsid w:val="000A0C4F"/>
    <w:rsid w:val="000B7BF0"/>
    <w:rsid w:val="000C45FD"/>
    <w:rsid w:val="000D4AA3"/>
    <w:rsid w:val="0011156D"/>
    <w:rsid w:val="0013290F"/>
    <w:rsid w:val="00132FD4"/>
    <w:rsid w:val="00143755"/>
    <w:rsid w:val="00146855"/>
    <w:rsid w:val="00152774"/>
    <w:rsid w:val="00157270"/>
    <w:rsid w:val="00172702"/>
    <w:rsid w:val="001969D8"/>
    <w:rsid w:val="001A1663"/>
    <w:rsid w:val="001A47A5"/>
    <w:rsid w:val="001A5D1A"/>
    <w:rsid w:val="001E0257"/>
    <w:rsid w:val="001E3164"/>
    <w:rsid w:val="001E7AFE"/>
    <w:rsid w:val="001F4FE8"/>
    <w:rsid w:val="00200049"/>
    <w:rsid w:val="0021519D"/>
    <w:rsid w:val="0022210C"/>
    <w:rsid w:val="00252237"/>
    <w:rsid w:val="00263E66"/>
    <w:rsid w:val="00266126"/>
    <w:rsid w:val="00286120"/>
    <w:rsid w:val="002B6E48"/>
    <w:rsid w:val="002C3FC3"/>
    <w:rsid w:val="002C6953"/>
    <w:rsid w:val="002C796B"/>
    <w:rsid w:val="002D7630"/>
    <w:rsid w:val="002E65AC"/>
    <w:rsid w:val="00320C50"/>
    <w:rsid w:val="0032515D"/>
    <w:rsid w:val="00334183"/>
    <w:rsid w:val="00361983"/>
    <w:rsid w:val="003764A8"/>
    <w:rsid w:val="00385DC9"/>
    <w:rsid w:val="00393686"/>
    <w:rsid w:val="00397B9D"/>
    <w:rsid w:val="003A662F"/>
    <w:rsid w:val="003A7331"/>
    <w:rsid w:val="003C0A93"/>
    <w:rsid w:val="003E335E"/>
    <w:rsid w:val="003F1D33"/>
    <w:rsid w:val="004125AB"/>
    <w:rsid w:val="00421C66"/>
    <w:rsid w:val="004225FF"/>
    <w:rsid w:val="00430AB6"/>
    <w:rsid w:val="0043293E"/>
    <w:rsid w:val="0043598A"/>
    <w:rsid w:val="004443D4"/>
    <w:rsid w:val="00444EF0"/>
    <w:rsid w:val="00447087"/>
    <w:rsid w:val="004605E3"/>
    <w:rsid w:val="0046424E"/>
    <w:rsid w:val="004644F8"/>
    <w:rsid w:val="00473E14"/>
    <w:rsid w:val="004830F7"/>
    <w:rsid w:val="00483934"/>
    <w:rsid w:val="00484E72"/>
    <w:rsid w:val="00490A10"/>
    <w:rsid w:val="00491EA7"/>
    <w:rsid w:val="00495E60"/>
    <w:rsid w:val="004A5A15"/>
    <w:rsid w:val="004B5EFE"/>
    <w:rsid w:val="004B74B2"/>
    <w:rsid w:val="004D76D2"/>
    <w:rsid w:val="004E47E4"/>
    <w:rsid w:val="00500D0C"/>
    <w:rsid w:val="00507D39"/>
    <w:rsid w:val="005552BF"/>
    <w:rsid w:val="00555C7A"/>
    <w:rsid w:val="0055661B"/>
    <w:rsid w:val="00557BF3"/>
    <w:rsid w:val="005672A8"/>
    <w:rsid w:val="00576FE4"/>
    <w:rsid w:val="00586090"/>
    <w:rsid w:val="005938C9"/>
    <w:rsid w:val="00594CEF"/>
    <w:rsid w:val="005A09DA"/>
    <w:rsid w:val="005A70D9"/>
    <w:rsid w:val="005A77D8"/>
    <w:rsid w:val="005B7836"/>
    <w:rsid w:val="005B7A5B"/>
    <w:rsid w:val="005C5721"/>
    <w:rsid w:val="005E0EFD"/>
    <w:rsid w:val="005E2A67"/>
    <w:rsid w:val="005E7BDB"/>
    <w:rsid w:val="005F2022"/>
    <w:rsid w:val="00611853"/>
    <w:rsid w:val="00611CB5"/>
    <w:rsid w:val="0062529B"/>
    <w:rsid w:val="00633DD1"/>
    <w:rsid w:val="00647038"/>
    <w:rsid w:val="00651845"/>
    <w:rsid w:val="00653B89"/>
    <w:rsid w:val="00665F8A"/>
    <w:rsid w:val="00666700"/>
    <w:rsid w:val="00671204"/>
    <w:rsid w:val="0067247F"/>
    <w:rsid w:val="006805F5"/>
    <w:rsid w:val="006964B3"/>
    <w:rsid w:val="006A1AE9"/>
    <w:rsid w:val="006B0B0F"/>
    <w:rsid w:val="006D5AF6"/>
    <w:rsid w:val="006E6F3F"/>
    <w:rsid w:val="00702C7F"/>
    <w:rsid w:val="0071015B"/>
    <w:rsid w:val="007256DD"/>
    <w:rsid w:val="00736B34"/>
    <w:rsid w:val="007507CD"/>
    <w:rsid w:val="00750B09"/>
    <w:rsid w:val="00750C36"/>
    <w:rsid w:val="007667F1"/>
    <w:rsid w:val="00767C85"/>
    <w:rsid w:val="00776328"/>
    <w:rsid w:val="007A7D34"/>
    <w:rsid w:val="007D1F80"/>
    <w:rsid w:val="007D458E"/>
    <w:rsid w:val="007E1C95"/>
    <w:rsid w:val="007E4AE1"/>
    <w:rsid w:val="0080093F"/>
    <w:rsid w:val="00801371"/>
    <w:rsid w:val="00813186"/>
    <w:rsid w:val="00822A2A"/>
    <w:rsid w:val="0082415A"/>
    <w:rsid w:val="008412BD"/>
    <w:rsid w:val="00841D77"/>
    <w:rsid w:val="0084301E"/>
    <w:rsid w:val="008617EB"/>
    <w:rsid w:val="008630B0"/>
    <w:rsid w:val="00865288"/>
    <w:rsid w:val="00880897"/>
    <w:rsid w:val="008826F5"/>
    <w:rsid w:val="008A446E"/>
    <w:rsid w:val="008B47B1"/>
    <w:rsid w:val="008B6B25"/>
    <w:rsid w:val="008C4D73"/>
    <w:rsid w:val="008D45C6"/>
    <w:rsid w:val="008E414C"/>
    <w:rsid w:val="0090612B"/>
    <w:rsid w:val="00910517"/>
    <w:rsid w:val="00925B12"/>
    <w:rsid w:val="009317B8"/>
    <w:rsid w:val="0093540F"/>
    <w:rsid w:val="0093786D"/>
    <w:rsid w:val="00940583"/>
    <w:rsid w:val="00943BFD"/>
    <w:rsid w:val="00955D85"/>
    <w:rsid w:val="009626AE"/>
    <w:rsid w:val="00975B6D"/>
    <w:rsid w:val="00990E1A"/>
    <w:rsid w:val="009951E5"/>
    <w:rsid w:val="009A1D1B"/>
    <w:rsid w:val="00A1539B"/>
    <w:rsid w:val="00A33D5A"/>
    <w:rsid w:val="00A3599B"/>
    <w:rsid w:val="00A35CF6"/>
    <w:rsid w:val="00A463A4"/>
    <w:rsid w:val="00A500D3"/>
    <w:rsid w:val="00A55E06"/>
    <w:rsid w:val="00A71B8A"/>
    <w:rsid w:val="00A75075"/>
    <w:rsid w:val="00A8505E"/>
    <w:rsid w:val="00A86293"/>
    <w:rsid w:val="00A936A2"/>
    <w:rsid w:val="00AB2525"/>
    <w:rsid w:val="00AB2694"/>
    <w:rsid w:val="00AC00BD"/>
    <w:rsid w:val="00AC238B"/>
    <w:rsid w:val="00AC5609"/>
    <w:rsid w:val="00AC7207"/>
    <w:rsid w:val="00AD08F2"/>
    <w:rsid w:val="00AD4FE2"/>
    <w:rsid w:val="00AE0CA0"/>
    <w:rsid w:val="00B10498"/>
    <w:rsid w:val="00B17E6D"/>
    <w:rsid w:val="00B41C18"/>
    <w:rsid w:val="00B47A6D"/>
    <w:rsid w:val="00B72F53"/>
    <w:rsid w:val="00B975BC"/>
    <w:rsid w:val="00BB180C"/>
    <w:rsid w:val="00BB6EE6"/>
    <w:rsid w:val="00BC310D"/>
    <w:rsid w:val="00BF0BBC"/>
    <w:rsid w:val="00BF36CD"/>
    <w:rsid w:val="00BF6255"/>
    <w:rsid w:val="00C0335B"/>
    <w:rsid w:val="00C12CE8"/>
    <w:rsid w:val="00C13B4E"/>
    <w:rsid w:val="00C2142A"/>
    <w:rsid w:val="00C231CE"/>
    <w:rsid w:val="00C245EB"/>
    <w:rsid w:val="00C33655"/>
    <w:rsid w:val="00C338FB"/>
    <w:rsid w:val="00C55900"/>
    <w:rsid w:val="00C61302"/>
    <w:rsid w:val="00C62118"/>
    <w:rsid w:val="00C62CF2"/>
    <w:rsid w:val="00C6415F"/>
    <w:rsid w:val="00C708D1"/>
    <w:rsid w:val="00C71E51"/>
    <w:rsid w:val="00C93215"/>
    <w:rsid w:val="00CC22FD"/>
    <w:rsid w:val="00CD04EF"/>
    <w:rsid w:val="00CE288B"/>
    <w:rsid w:val="00CE76B5"/>
    <w:rsid w:val="00CF76F2"/>
    <w:rsid w:val="00D1592B"/>
    <w:rsid w:val="00D168A1"/>
    <w:rsid w:val="00D257D9"/>
    <w:rsid w:val="00D2792F"/>
    <w:rsid w:val="00D27942"/>
    <w:rsid w:val="00D35889"/>
    <w:rsid w:val="00D40D8E"/>
    <w:rsid w:val="00D420DF"/>
    <w:rsid w:val="00D5040A"/>
    <w:rsid w:val="00D67CF3"/>
    <w:rsid w:val="00D73FFB"/>
    <w:rsid w:val="00D858B8"/>
    <w:rsid w:val="00DA0553"/>
    <w:rsid w:val="00DA4BD1"/>
    <w:rsid w:val="00DA4F38"/>
    <w:rsid w:val="00DC154A"/>
    <w:rsid w:val="00DC6AA3"/>
    <w:rsid w:val="00DD2029"/>
    <w:rsid w:val="00DF7BA1"/>
    <w:rsid w:val="00E01477"/>
    <w:rsid w:val="00E1382D"/>
    <w:rsid w:val="00E46F66"/>
    <w:rsid w:val="00E539D4"/>
    <w:rsid w:val="00E67825"/>
    <w:rsid w:val="00E67BF9"/>
    <w:rsid w:val="00E770E4"/>
    <w:rsid w:val="00E77E20"/>
    <w:rsid w:val="00E83CA5"/>
    <w:rsid w:val="00E87031"/>
    <w:rsid w:val="00E96BF0"/>
    <w:rsid w:val="00EA5D2E"/>
    <w:rsid w:val="00EA7F04"/>
    <w:rsid w:val="00F04E23"/>
    <w:rsid w:val="00F14255"/>
    <w:rsid w:val="00F268F7"/>
    <w:rsid w:val="00F578FB"/>
    <w:rsid w:val="00F57D26"/>
    <w:rsid w:val="00F709B8"/>
    <w:rsid w:val="00FC5F67"/>
    <w:rsid w:val="00FD562F"/>
    <w:rsid w:val="00FD61F3"/>
    <w:rsid w:val="00FE1BD9"/>
    <w:rsid w:val="00FE3A06"/>
    <w:rsid w:val="00FF15E8"/>
    <w:rsid w:val="2AEE588C"/>
    <w:rsid w:val="4E91AF99"/>
    <w:rsid w:val="5249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7910D9C"/>
  <w15:chartTrackingRefBased/>
  <w15:docId w15:val="{F3070F34-E862-4B04-8F22-7C394A32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E65A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65AC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E65A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C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2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AA3"/>
  </w:style>
  <w:style w:type="paragraph" w:styleId="Footer">
    <w:name w:val="footer"/>
    <w:basedOn w:val="Normal"/>
    <w:link w:val="FooterChar"/>
    <w:uiPriority w:val="99"/>
    <w:unhideWhenUsed/>
    <w:rsid w:val="00092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AA3"/>
  </w:style>
  <w:style w:type="paragraph" w:customStyle="1" w:styleId="Default">
    <w:name w:val="Default"/>
    <w:rsid w:val="00E83C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40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well.utk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DC13-9B6A-4B7D-8A9B-7B3EBCB2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Ramsey, Jonathan David</dc:creator>
  <cp:keywords/>
  <dc:description/>
  <cp:lastModifiedBy>Dyer, Xiaohan</cp:lastModifiedBy>
  <cp:revision>4</cp:revision>
  <cp:lastPrinted>2017-07-07T14:32:00Z</cp:lastPrinted>
  <dcterms:created xsi:type="dcterms:W3CDTF">2017-12-15T20:23:00Z</dcterms:created>
  <dcterms:modified xsi:type="dcterms:W3CDTF">2017-12-22T16:28:00Z</dcterms:modified>
</cp:coreProperties>
</file>